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F" w:rsidRPr="00B56256" w:rsidRDefault="00AA69CF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1048"/>
        <w:gridCol w:w="1090"/>
        <w:gridCol w:w="1077"/>
        <w:gridCol w:w="888"/>
        <w:gridCol w:w="929"/>
        <w:gridCol w:w="1187"/>
        <w:gridCol w:w="1203"/>
      </w:tblGrid>
      <w:tr w:rsidR="00B56256" w:rsidRPr="00B56256" w:rsidTr="00B56256">
        <w:trPr>
          <w:jc w:val="center"/>
        </w:trPr>
        <w:tc>
          <w:tcPr>
            <w:tcW w:w="3369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48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78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077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888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SWD</w:t>
            </w:r>
          </w:p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</w:p>
          <w:p w:rsidR="00B56256" w:rsidRPr="00B56256" w:rsidRDefault="00FF06DD" w:rsidP="005173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N=21</w:t>
            </w:r>
          </w:p>
        </w:tc>
        <w:tc>
          <w:tcPr>
            <w:tcW w:w="929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187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187" w:type="dxa"/>
            <w:shd w:val="clear" w:color="auto" w:fill="DDD9C3" w:themeFill="background2" w:themeFillShade="E6"/>
          </w:tcPr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AVERAGE</w:t>
            </w:r>
          </w:p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PERCENT</w:t>
            </w:r>
          </w:p>
          <w:p w:rsidR="00B56256" w:rsidRPr="00B56256" w:rsidRDefault="00B56256" w:rsidP="0051730E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PROFICIENT</w:t>
            </w:r>
          </w:p>
        </w:tc>
      </w:tr>
      <w:tr w:rsidR="00B56256" w:rsidRPr="00B56256" w:rsidTr="00B56256">
        <w:trPr>
          <w:jc w:val="center"/>
        </w:trPr>
        <w:tc>
          <w:tcPr>
            <w:tcW w:w="10763" w:type="dxa"/>
            <w:gridSpan w:val="8"/>
          </w:tcPr>
          <w:p w:rsidR="00B56256" w:rsidRPr="00B56256" w:rsidRDefault="00B56256" w:rsidP="00B56256">
            <w:pPr>
              <w:jc w:val="center"/>
              <w:rPr>
                <w:b/>
              </w:rPr>
            </w:pPr>
            <w:r w:rsidRPr="00B56256">
              <w:rPr>
                <w:b/>
                <w:color w:val="FF0000"/>
              </w:rPr>
              <w:t>WORD STUDY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 w:val="restart"/>
          </w:tcPr>
          <w:p w:rsidR="00B56256" w:rsidRPr="00B56256" w:rsidRDefault="00B56256" w:rsidP="006D6D11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>R.WS.06.</w:t>
            </w: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18"/>
                <w:szCs w:val="18"/>
              </w:rPr>
              <w:t xml:space="preserve">07 </w:t>
            </w: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in context, determine the meaning of words and phrases including regional idioms, literary and technical terms, and content vocabulary using strategies including connotation, denotation, and authentic content-related resources.</w:t>
            </w: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3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187" w:type="dxa"/>
            <w:vMerge w:val="restart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48%</w:t>
            </w:r>
            <w:bookmarkStart w:id="0" w:name="_GoBack"/>
            <w:bookmarkEnd w:id="0"/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5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9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10763" w:type="dxa"/>
            <w:gridSpan w:val="8"/>
          </w:tcPr>
          <w:p w:rsidR="00B56256" w:rsidRPr="00B56256" w:rsidRDefault="00B56256" w:rsidP="00B56256">
            <w:pPr>
              <w:jc w:val="center"/>
              <w:rPr>
                <w:b/>
              </w:rPr>
            </w:pPr>
            <w:r w:rsidRPr="00B56256">
              <w:rPr>
                <w:b/>
                <w:color w:val="FF0000"/>
              </w:rPr>
              <w:t>NARRATIVE TEXT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</w:tcPr>
          <w:p w:rsidR="00B56256" w:rsidRPr="00B56256" w:rsidRDefault="00B56256" w:rsidP="006D6D11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R.NT.06.02 </w:t>
            </w: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analyze the structure, elements, style, and purpose of narrative genre including folktales, fantasy, adventure, and action stories.</w:t>
            </w: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929" w:type="dxa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187" w:type="dxa"/>
          </w:tcPr>
          <w:p w:rsidR="00B56256" w:rsidRPr="00B56256" w:rsidRDefault="00FF06DD" w:rsidP="00DF20F0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1187" w:type="dxa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77%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 w:val="restart"/>
          </w:tcPr>
          <w:p w:rsidR="00B56256" w:rsidRPr="00B56256" w:rsidRDefault="00B56256" w:rsidP="006D6D11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R.NT.06.03 </w:t>
            </w: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analyze how dialogue enhances the plot, characters, and themes; differentiates major and minor characters; and builds climax.</w:t>
            </w: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187" w:type="dxa"/>
            <w:vMerge w:val="restart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45%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8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187" w:type="dxa"/>
            <w:vMerge/>
          </w:tcPr>
          <w:p w:rsidR="00B56256" w:rsidRPr="00B56256" w:rsidRDefault="00B56256" w:rsidP="00DF20F0">
            <w:pPr>
              <w:jc w:val="center"/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11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87" w:type="dxa"/>
            <w:vMerge/>
          </w:tcPr>
          <w:p w:rsidR="00B56256" w:rsidRPr="00B56256" w:rsidRDefault="00B56256" w:rsidP="00DF20F0">
            <w:pPr>
              <w:jc w:val="center"/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 w:val="restart"/>
          </w:tcPr>
          <w:p w:rsidR="00B56256" w:rsidRPr="00B56256" w:rsidRDefault="00B56256" w:rsidP="006D6D11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R.NT.06.04 </w:t>
            </w: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analyze how authors use literary devices including dialogue, imagery, mood, and understatement to develop the plot, characters, point of view, and theme.</w:t>
            </w: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4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7" w:type="dxa"/>
            <w:vMerge w:val="restart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42%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10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88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12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888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13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88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14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88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15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888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23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888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10763" w:type="dxa"/>
            <w:gridSpan w:val="8"/>
          </w:tcPr>
          <w:p w:rsidR="00B56256" w:rsidRPr="00B56256" w:rsidRDefault="00B56256" w:rsidP="00B56256">
            <w:pPr>
              <w:jc w:val="center"/>
              <w:rPr>
                <w:b/>
              </w:rPr>
            </w:pPr>
            <w:r w:rsidRPr="00B56256">
              <w:rPr>
                <w:b/>
                <w:color w:val="FF0000"/>
              </w:rPr>
              <w:t>INFORMATIONAL TEXT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 w:val="restart"/>
          </w:tcPr>
          <w:p w:rsidR="00B56256" w:rsidRPr="00B56256" w:rsidRDefault="00B56256" w:rsidP="00B56256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</w:pP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R.IT.06.03 </w:t>
            </w: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explain how authors use text features including footnotes, bibliographies, introductions, summaries, conclusions, and appendices to enhance the understanding of central, key, and supporting ideas.</w:t>
            </w:r>
          </w:p>
          <w:p w:rsidR="00B56256" w:rsidRPr="00B56256" w:rsidRDefault="00B56256" w:rsidP="00B56256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24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77" w:type="dxa"/>
          </w:tcPr>
          <w:p w:rsidR="00B56256" w:rsidRPr="00B56256" w:rsidRDefault="00FF06DD" w:rsidP="006621F5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7" w:type="dxa"/>
            <w:vMerge w:val="restart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50%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26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88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E9788C">
        <w:trPr>
          <w:jc w:val="center"/>
        </w:trPr>
        <w:tc>
          <w:tcPr>
            <w:tcW w:w="3369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48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78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077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888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SWD</w:t>
            </w:r>
          </w:p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</w:p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187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187" w:type="dxa"/>
            <w:shd w:val="clear" w:color="auto" w:fill="DDD9C3" w:themeFill="background2" w:themeFillShade="E6"/>
          </w:tcPr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AVERAGE</w:t>
            </w:r>
          </w:p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PERCENT</w:t>
            </w:r>
          </w:p>
          <w:p w:rsidR="00B56256" w:rsidRPr="00B56256" w:rsidRDefault="00B56256" w:rsidP="00E9788C">
            <w:pPr>
              <w:jc w:val="center"/>
              <w:rPr>
                <w:b/>
                <w:sz w:val="20"/>
                <w:szCs w:val="20"/>
              </w:rPr>
            </w:pPr>
            <w:r w:rsidRPr="00B56256">
              <w:rPr>
                <w:b/>
                <w:sz w:val="20"/>
                <w:szCs w:val="20"/>
              </w:rPr>
              <w:t>PROFICIENT</w:t>
            </w:r>
          </w:p>
        </w:tc>
      </w:tr>
      <w:tr w:rsidR="00B56256" w:rsidRPr="00B56256" w:rsidTr="00B56256">
        <w:trPr>
          <w:jc w:val="center"/>
        </w:trPr>
        <w:tc>
          <w:tcPr>
            <w:tcW w:w="10763" w:type="dxa"/>
            <w:gridSpan w:val="8"/>
          </w:tcPr>
          <w:p w:rsidR="00B56256" w:rsidRPr="00B56256" w:rsidRDefault="00B56256" w:rsidP="00B56256">
            <w:pPr>
              <w:jc w:val="center"/>
              <w:rPr>
                <w:b/>
              </w:rPr>
            </w:pPr>
            <w:r w:rsidRPr="00B56256">
              <w:rPr>
                <w:b/>
                <w:color w:val="FF0000"/>
              </w:rPr>
              <w:t>COMPREHENSION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 w:val="restart"/>
          </w:tcPr>
          <w:p w:rsidR="00B56256" w:rsidRPr="00B56256" w:rsidRDefault="00B56256">
            <w:pPr>
              <w:rPr>
                <w:b/>
              </w:rPr>
            </w:pP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R.CM.06.02 </w:t>
            </w: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retell through concise summarization grade-level narrative and informational text.</w:t>
            </w: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7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29" w:type="dxa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187" w:type="dxa"/>
          </w:tcPr>
          <w:p w:rsidR="00B56256" w:rsidRPr="00B56256" w:rsidRDefault="00FF06DD" w:rsidP="00DF20F0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187" w:type="dxa"/>
            <w:vMerge w:val="restart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62%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25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29" w:type="dxa"/>
          </w:tcPr>
          <w:p w:rsidR="00B56256" w:rsidRPr="00B56256" w:rsidRDefault="006920E4" w:rsidP="00DF20F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87" w:type="dxa"/>
          </w:tcPr>
          <w:p w:rsidR="00B56256" w:rsidRPr="00B56256" w:rsidRDefault="00FF06DD" w:rsidP="00DF20F0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187" w:type="dxa"/>
            <w:vMerge/>
          </w:tcPr>
          <w:p w:rsidR="00B56256" w:rsidRPr="00B56256" w:rsidRDefault="00B56256" w:rsidP="00DF20F0">
            <w:pPr>
              <w:jc w:val="center"/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 w:val="restart"/>
          </w:tcPr>
          <w:p w:rsidR="00B56256" w:rsidRPr="00B56256" w:rsidRDefault="00B56256" w:rsidP="006D6D11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</w:pPr>
            <w:r w:rsidRPr="00B56256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R.CM.06.03 </w:t>
            </w: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analyze global themes, universal truths and principles within and across texts to create a deeper understanding by drawing conclusions, making inferences, and</w:t>
            </w:r>
          </w:p>
          <w:p w:rsidR="00B56256" w:rsidRPr="00B56256" w:rsidRDefault="00B56256" w:rsidP="006D6D11">
            <w:pPr>
              <w:rPr>
                <w:b/>
              </w:rPr>
            </w:pPr>
            <w:r w:rsidRPr="00B56256">
              <w:rPr>
                <w:rFonts w:ascii="GillSans-Light" w:hAnsi="GillSans-Light" w:cs="GillSans-Light"/>
                <w:b/>
                <w:color w:val="272525"/>
                <w:sz w:val="18"/>
                <w:szCs w:val="18"/>
              </w:rPr>
              <w:t>synthesizing.</w:t>
            </w: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6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87" w:type="dxa"/>
          </w:tcPr>
          <w:p w:rsidR="00B56256" w:rsidRPr="00B56256" w:rsidRDefault="00FF06DD" w:rsidP="00DF20F0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187" w:type="dxa"/>
            <w:vMerge w:val="restart"/>
          </w:tcPr>
          <w:p w:rsidR="00B56256" w:rsidRPr="00B56256" w:rsidRDefault="006920E4" w:rsidP="006920E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58%</w:t>
            </w: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16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17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18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19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20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21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22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27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28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888" w:type="dxa"/>
          </w:tcPr>
          <w:p w:rsidR="00B56256" w:rsidRPr="00B56256" w:rsidRDefault="00994767" w:rsidP="0099476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29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  <w:tr w:rsidR="00B56256" w:rsidRPr="00B56256" w:rsidTr="00B56256">
        <w:trPr>
          <w:jc w:val="center"/>
        </w:trPr>
        <w:tc>
          <w:tcPr>
            <w:tcW w:w="3369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  <w:tc>
          <w:tcPr>
            <w:tcW w:w="1048" w:type="dxa"/>
          </w:tcPr>
          <w:p w:rsidR="00B56256" w:rsidRPr="00B56256" w:rsidRDefault="00B56256" w:rsidP="00D150D3">
            <w:pPr>
              <w:jc w:val="center"/>
              <w:rPr>
                <w:b/>
              </w:rPr>
            </w:pPr>
            <w:r w:rsidRPr="00B56256">
              <w:rPr>
                <w:b/>
              </w:rPr>
              <w:t>30</w:t>
            </w:r>
          </w:p>
        </w:tc>
        <w:tc>
          <w:tcPr>
            <w:tcW w:w="1078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77" w:type="dxa"/>
          </w:tcPr>
          <w:p w:rsidR="00B56256" w:rsidRPr="00B56256" w:rsidRDefault="00FF06DD" w:rsidP="00244D29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888" w:type="dxa"/>
          </w:tcPr>
          <w:p w:rsidR="00B56256" w:rsidRPr="00B56256" w:rsidRDefault="00994767" w:rsidP="00244D2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29" w:type="dxa"/>
          </w:tcPr>
          <w:p w:rsidR="00B56256" w:rsidRPr="00B56256" w:rsidRDefault="006920E4" w:rsidP="006920E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87" w:type="dxa"/>
          </w:tcPr>
          <w:p w:rsidR="00B56256" w:rsidRPr="00B56256" w:rsidRDefault="00FF06DD" w:rsidP="00FF06DD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187" w:type="dxa"/>
            <w:vMerge/>
          </w:tcPr>
          <w:p w:rsidR="00B56256" w:rsidRPr="00B56256" w:rsidRDefault="00B56256">
            <w:pPr>
              <w:rPr>
                <w:b/>
              </w:rPr>
            </w:pPr>
          </w:p>
        </w:tc>
      </w:tr>
    </w:tbl>
    <w:p w:rsidR="0051730E" w:rsidRPr="00B56256" w:rsidRDefault="0051730E">
      <w:pPr>
        <w:rPr>
          <w:b/>
        </w:rPr>
      </w:pPr>
    </w:p>
    <w:sectPr w:rsidR="0051730E" w:rsidRPr="00B56256" w:rsidSect="00B56256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2F" w:rsidRDefault="002C0E2F" w:rsidP="00D97F73">
      <w:pPr>
        <w:spacing w:after="0" w:line="240" w:lineRule="auto"/>
      </w:pPr>
      <w:r>
        <w:separator/>
      </w:r>
    </w:p>
  </w:endnote>
  <w:endnote w:type="continuationSeparator" w:id="0">
    <w:p w:rsidR="002C0E2F" w:rsidRDefault="002C0E2F" w:rsidP="00D97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F73" w:rsidRDefault="0043621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  <w:r w:rsidR="00D97F73">
      <w:rPr>
        <w:rFonts w:asciiTheme="majorHAnsi" w:eastAsiaTheme="majorEastAsia" w:hAnsiTheme="majorHAnsi" w:cstheme="majorBidi"/>
      </w:rPr>
      <w:ptab w:relativeTo="margin" w:alignment="right" w:leader="none"/>
    </w:r>
    <w:r w:rsidR="00D97F73">
      <w:rPr>
        <w:rFonts w:asciiTheme="majorHAnsi" w:eastAsiaTheme="majorEastAsia" w:hAnsiTheme="majorHAnsi" w:cstheme="majorBidi"/>
      </w:rPr>
      <w:t xml:space="preserve">Page </w:t>
    </w:r>
    <w:r w:rsidR="00D97F73">
      <w:rPr>
        <w:rFonts w:eastAsiaTheme="minorEastAsia"/>
      </w:rPr>
      <w:fldChar w:fldCharType="begin"/>
    </w:r>
    <w:r w:rsidR="00D97F73">
      <w:instrText xml:space="preserve"> PAGE   \* MERGEFORMAT </w:instrText>
    </w:r>
    <w:r w:rsidR="00D97F73">
      <w:rPr>
        <w:rFonts w:eastAsiaTheme="minorEastAsia"/>
      </w:rPr>
      <w:fldChar w:fldCharType="separate"/>
    </w:r>
    <w:r w:rsidR="006920E4" w:rsidRPr="006920E4">
      <w:rPr>
        <w:rFonts w:asciiTheme="majorHAnsi" w:eastAsiaTheme="majorEastAsia" w:hAnsiTheme="majorHAnsi" w:cstheme="majorBidi"/>
        <w:noProof/>
      </w:rPr>
      <w:t>1</w:t>
    </w:r>
    <w:r w:rsidR="00D97F73">
      <w:rPr>
        <w:rFonts w:asciiTheme="majorHAnsi" w:eastAsiaTheme="majorEastAsia" w:hAnsiTheme="majorHAnsi" w:cstheme="majorBidi"/>
        <w:noProof/>
      </w:rPr>
      <w:fldChar w:fldCharType="end"/>
    </w:r>
  </w:p>
  <w:p w:rsidR="00D97F73" w:rsidRDefault="00D97F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2F" w:rsidRDefault="002C0E2F" w:rsidP="00D97F73">
      <w:pPr>
        <w:spacing w:after="0" w:line="240" w:lineRule="auto"/>
      </w:pPr>
      <w:r>
        <w:separator/>
      </w:r>
    </w:p>
  </w:footnote>
  <w:footnote w:type="continuationSeparator" w:id="0">
    <w:p w:rsidR="002C0E2F" w:rsidRDefault="002C0E2F" w:rsidP="00D97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F73" w:rsidRDefault="006920E4">
    <w:pPr>
      <w:pStyle w:val="Header"/>
    </w:pPr>
    <w:r>
      <w:t>PALMER PARK PREPARATORY ACADEMY</w:t>
    </w:r>
    <w:r w:rsidR="00D97F73">
      <w:t xml:space="preserve">                   </w:t>
    </w:r>
    <w:r w:rsidR="00D97F73">
      <w:ptab w:relativeTo="margin" w:alignment="center" w:leader="none"/>
    </w:r>
    <w:r w:rsidR="00D97F73">
      <w:t>RANKED GLCE’S                            READING</w:t>
    </w:r>
    <w:r w:rsidR="00761E30">
      <w:t xml:space="preserve">                                                         GRADE 7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C170E"/>
    <w:rsid w:val="001165EB"/>
    <w:rsid w:val="001C3494"/>
    <w:rsid w:val="00244D29"/>
    <w:rsid w:val="002762A0"/>
    <w:rsid w:val="002C0E2F"/>
    <w:rsid w:val="003D289C"/>
    <w:rsid w:val="004107EA"/>
    <w:rsid w:val="00436217"/>
    <w:rsid w:val="004C483E"/>
    <w:rsid w:val="0051730E"/>
    <w:rsid w:val="00642E6C"/>
    <w:rsid w:val="006621F5"/>
    <w:rsid w:val="006920E4"/>
    <w:rsid w:val="006D6D11"/>
    <w:rsid w:val="00742556"/>
    <w:rsid w:val="00761E30"/>
    <w:rsid w:val="007C4EDA"/>
    <w:rsid w:val="007F0E7F"/>
    <w:rsid w:val="00815416"/>
    <w:rsid w:val="00883FA6"/>
    <w:rsid w:val="00994767"/>
    <w:rsid w:val="009B4862"/>
    <w:rsid w:val="009D01B5"/>
    <w:rsid w:val="00AA69CF"/>
    <w:rsid w:val="00AC68E7"/>
    <w:rsid w:val="00AD364C"/>
    <w:rsid w:val="00AF6B59"/>
    <w:rsid w:val="00B56256"/>
    <w:rsid w:val="00D150D3"/>
    <w:rsid w:val="00D97F73"/>
    <w:rsid w:val="00DF20F0"/>
    <w:rsid w:val="00EA358E"/>
    <w:rsid w:val="00F06596"/>
    <w:rsid w:val="00F37E6A"/>
    <w:rsid w:val="00F65849"/>
    <w:rsid w:val="00F70CE0"/>
    <w:rsid w:val="00FA029F"/>
    <w:rsid w:val="00FB008A"/>
    <w:rsid w:val="00FF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7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F73"/>
  </w:style>
  <w:style w:type="paragraph" w:styleId="Footer">
    <w:name w:val="footer"/>
    <w:basedOn w:val="Normal"/>
    <w:link w:val="FooterChar"/>
    <w:uiPriority w:val="99"/>
    <w:unhideWhenUsed/>
    <w:rsid w:val="00D97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F73"/>
  </w:style>
  <w:style w:type="paragraph" w:styleId="BalloonText">
    <w:name w:val="Balloon Text"/>
    <w:basedOn w:val="Normal"/>
    <w:link w:val="BalloonTextChar"/>
    <w:uiPriority w:val="99"/>
    <w:semiHidden/>
    <w:unhideWhenUsed/>
    <w:rsid w:val="00D97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7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F73"/>
  </w:style>
  <w:style w:type="paragraph" w:styleId="Footer">
    <w:name w:val="footer"/>
    <w:basedOn w:val="Normal"/>
    <w:link w:val="FooterChar"/>
    <w:uiPriority w:val="99"/>
    <w:unhideWhenUsed/>
    <w:rsid w:val="00D97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F73"/>
  </w:style>
  <w:style w:type="paragraph" w:styleId="BalloonText">
    <w:name w:val="Balloon Text"/>
    <w:basedOn w:val="Normal"/>
    <w:link w:val="BalloonTextChar"/>
    <w:uiPriority w:val="99"/>
    <w:semiHidden/>
    <w:unhideWhenUsed/>
    <w:rsid w:val="00D97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2012-01-28T00:26:00Z</cp:lastPrinted>
  <dcterms:created xsi:type="dcterms:W3CDTF">2012-09-20T02:41:00Z</dcterms:created>
  <dcterms:modified xsi:type="dcterms:W3CDTF">2012-09-20T02:48:00Z</dcterms:modified>
</cp:coreProperties>
</file>